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DCC6F">
      <w:pPr>
        <w:adjustRightInd w:val="0"/>
        <w:snapToGrid w:val="0"/>
        <w:spacing w:line="600" w:lineRule="exact"/>
        <w:jc w:val="center"/>
        <w:outlineLvl w:val="0"/>
        <w:rPr>
          <w:rFonts w:hint="eastAsia" w:ascii="仿宋" w:hAnsi="仿宋" w:eastAsia="仿宋" w:cs="仿宋"/>
          <w:b/>
          <w:bCs/>
          <w:sz w:val="44"/>
          <w:szCs w:val="44"/>
          <w:lang w:val="en-US" w:eastAsia="zh-CN"/>
        </w:rPr>
      </w:pPr>
      <w:bookmarkStart w:id="0" w:name="_GoBack"/>
      <w:bookmarkEnd w:id="0"/>
    </w:p>
    <w:p w14:paraId="4DA56622">
      <w:pPr>
        <w:adjustRightInd w:val="0"/>
        <w:snapToGrid w:val="0"/>
        <w:spacing w:line="600" w:lineRule="exact"/>
        <w:jc w:val="center"/>
        <w:outlineLvl w:val="0"/>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2026年新疆维吾尔自治区财政出资地质勘查项目招标资质标编写有关要求</w:t>
      </w:r>
    </w:p>
    <w:p w14:paraId="41A508D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0" w:leftChars="0" w:right="0" w:firstLine="640" w:firstLineChars="0"/>
        <w:jc w:val="both"/>
        <w:rPr>
          <w:rFonts w:hint="eastAsia" w:ascii="仿宋_GB2312" w:hAnsi="等线" w:eastAsia="仿宋_GB2312" w:cs="仿宋_GB2312"/>
          <w:b w:val="0"/>
          <w:bCs w:val="0"/>
          <w:i w:val="0"/>
          <w:iCs w:val="0"/>
          <w:caps w:val="0"/>
          <w:color w:val="000000"/>
          <w:spacing w:val="0"/>
          <w:kern w:val="0"/>
          <w:sz w:val="32"/>
          <w:szCs w:val="32"/>
          <w:lang w:val="en-US" w:eastAsia="zh-CN" w:bidi="ar"/>
        </w:rPr>
      </w:pPr>
      <w:r>
        <w:rPr>
          <w:rFonts w:hint="eastAsia" w:ascii="仿宋_GB2312" w:hAnsi="等线" w:eastAsia="仿宋_GB2312" w:cs="仿宋_GB2312"/>
          <w:b w:val="0"/>
          <w:bCs w:val="0"/>
          <w:i w:val="0"/>
          <w:iCs w:val="0"/>
          <w:caps w:val="0"/>
          <w:color w:val="000000"/>
          <w:spacing w:val="0"/>
          <w:kern w:val="0"/>
          <w:sz w:val="32"/>
          <w:szCs w:val="32"/>
          <w:lang w:val="en-US" w:eastAsia="zh-CN" w:bidi="ar"/>
        </w:rPr>
        <w:t>资质标书编写要体现申报单位的业绩、人员、设备、资金等总体情况，主要反映单位的项目承担能力、成果和质量管理水平。</w:t>
      </w:r>
    </w:p>
    <w:p w14:paraId="5370092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00" w:leftChars="0" w:right="0" w:rightChars="0"/>
        <w:jc w:val="both"/>
        <w:rPr>
          <w:rFonts w:hint="default" w:ascii="等线" w:hAnsi="等线" w:eastAsia="等线" w:cs="Times New Roman"/>
          <w:sz w:val="30"/>
          <w:szCs w:val="30"/>
          <w:lang w:val="en-US" w:eastAsia="zh-CN"/>
        </w:rPr>
      </w:pPr>
      <w:r>
        <w:rPr>
          <w:rFonts w:hint="eastAsia" w:ascii="仿宋_GB2312" w:hAnsi="等线" w:eastAsia="仿宋_GB2312" w:cs="仿宋_GB2312"/>
          <w:b w:val="0"/>
          <w:bCs w:val="0"/>
          <w:i w:val="0"/>
          <w:iCs w:val="0"/>
          <w:caps w:val="0"/>
          <w:color w:val="000000"/>
          <w:spacing w:val="0"/>
          <w:kern w:val="0"/>
          <w:sz w:val="32"/>
          <w:szCs w:val="32"/>
          <w:lang w:val="en-US" w:eastAsia="zh-CN" w:bidi="ar"/>
        </w:rPr>
        <w:t>二、资质标书不按申报项目提交，申报多个项目只需要提交1份资质标书。</w:t>
      </w:r>
    </w:p>
    <w:p w14:paraId="0F418DD4">
      <w:pPr>
        <w:rPr>
          <w:rFonts w:hint="default" w:ascii="等线" w:hAnsi="等线" w:eastAsia="仿宋" w:cs="Times New Roman"/>
          <w:sz w:val="30"/>
          <w:szCs w:val="30"/>
          <w:lang w:val="en-US" w:eastAsia="zh-CN"/>
        </w:rPr>
      </w:pPr>
      <w:r>
        <w:rPr>
          <w:rFonts w:hint="eastAsia" w:ascii="Times New Roman" w:hAnsi="Times New Roman" w:eastAsia="仿宋" w:cs="Times New Roman"/>
          <w:b/>
          <w:sz w:val="21"/>
          <w:szCs w:val="21"/>
          <w:lang w:val="en-US" w:eastAsia="zh-CN"/>
        </w:rPr>
        <w:t>单位</w:t>
      </w:r>
      <w:r>
        <w:rPr>
          <w:rFonts w:hint="default" w:ascii="Times New Roman" w:hAnsi="Times New Roman" w:eastAsia="仿宋" w:cs="Times New Roman"/>
          <w:b/>
          <w:sz w:val="21"/>
          <w:szCs w:val="21"/>
        </w:rPr>
        <w:t>名称：</w:t>
      </w:r>
    </w:p>
    <w:tbl>
      <w:tblPr>
        <w:tblStyle w:val="2"/>
        <w:tblW w:w="913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5475"/>
        <w:gridCol w:w="1038"/>
        <w:gridCol w:w="767"/>
      </w:tblGrid>
      <w:tr w14:paraId="6318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67844BD1">
            <w:pPr>
              <w:spacing w:line="34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项目</w:t>
            </w:r>
          </w:p>
        </w:tc>
        <w:tc>
          <w:tcPr>
            <w:tcW w:w="5475" w:type="dxa"/>
            <w:tcBorders>
              <w:top w:val="single" w:color="auto" w:sz="4" w:space="0"/>
              <w:left w:val="single" w:color="auto" w:sz="4" w:space="0"/>
              <w:bottom w:val="single" w:color="auto" w:sz="4" w:space="0"/>
              <w:right w:val="single" w:color="auto" w:sz="4" w:space="0"/>
            </w:tcBorders>
            <w:noWrap w:val="0"/>
            <w:vAlign w:val="center"/>
          </w:tcPr>
          <w:p w14:paraId="058DAA91">
            <w:pPr>
              <w:spacing w:line="34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打    分    标    准</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64DF1233">
            <w:pPr>
              <w:spacing w:line="34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分值</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2F51C644">
            <w:pPr>
              <w:spacing w:line="34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得分</w:t>
            </w:r>
          </w:p>
        </w:tc>
      </w:tr>
      <w:tr w14:paraId="2A82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2E667C06">
            <w:pPr>
              <w:spacing w:line="340" w:lineRule="exact"/>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一、以往工作业绩</w:t>
            </w:r>
          </w:p>
        </w:tc>
        <w:tc>
          <w:tcPr>
            <w:tcW w:w="5475" w:type="dxa"/>
            <w:tcBorders>
              <w:top w:val="single" w:color="auto" w:sz="4" w:space="0"/>
              <w:left w:val="single" w:color="auto" w:sz="4" w:space="0"/>
              <w:bottom w:val="single" w:color="auto" w:sz="4" w:space="0"/>
              <w:right w:val="single" w:color="auto" w:sz="4" w:space="0"/>
            </w:tcBorders>
            <w:noWrap w:val="0"/>
            <w:vAlign w:val="center"/>
          </w:tcPr>
          <w:p w14:paraId="10C626C8">
            <w:pPr>
              <w:spacing w:line="340" w:lineRule="exact"/>
              <w:ind w:firstLine="420" w:firstLineChars="200"/>
              <w:jc w:val="left"/>
              <w:rPr>
                <w:rFonts w:hint="default" w:ascii="Times New Roman" w:hAnsi="Times New Roman" w:eastAsia="仿宋" w:cs="Times New Roman"/>
                <w:bCs/>
                <w:sz w:val="21"/>
                <w:szCs w:val="24"/>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项目承担情况（</w:t>
            </w:r>
            <w:r>
              <w:rPr>
                <w:rFonts w:hint="eastAsia" w:ascii="Times New Roman" w:hAnsi="Times New Roman" w:eastAsia="仿宋" w:cs="Times New Roman"/>
                <w:bCs/>
                <w:sz w:val="21"/>
                <w:szCs w:val="24"/>
                <w:lang w:val="en-US" w:eastAsia="zh-CN"/>
              </w:rPr>
              <w:t>20</w:t>
            </w:r>
            <w:r>
              <w:rPr>
                <w:rFonts w:hint="default" w:ascii="Times New Roman" w:hAnsi="Times New Roman" w:eastAsia="仿宋" w:cs="Times New Roman"/>
                <w:bCs/>
                <w:sz w:val="21"/>
                <w:szCs w:val="24"/>
                <w:lang w:val="en-US" w:eastAsia="zh-CN"/>
              </w:rPr>
              <w:t>分）：近五年每承担1个</w:t>
            </w:r>
            <w:r>
              <w:rPr>
                <w:rFonts w:hint="eastAsia" w:ascii="Times New Roman" w:hAnsi="Times New Roman" w:eastAsia="仿宋" w:cs="Times New Roman"/>
                <w:bCs/>
                <w:sz w:val="21"/>
                <w:szCs w:val="24"/>
                <w:lang w:val="en-US" w:eastAsia="zh-CN"/>
              </w:rPr>
              <w:t>1：5万区域地质矿产调查、</w:t>
            </w:r>
            <w:r>
              <w:rPr>
                <w:rFonts w:hint="default" w:ascii="Times New Roman" w:hAnsi="Times New Roman" w:eastAsia="仿宋" w:cs="Times New Roman"/>
                <w:bCs/>
                <w:sz w:val="21"/>
                <w:szCs w:val="24"/>
                <w:lang w:val="en-US" w:eastAsia="zh-CN"/>
              </w:rPr>
              <w:t>矿产地质调查项目加</w:t>
            </w:r>
            <w:r>
              <w:rPr>
                <w:rFonts w:hint="eastAsia" w:ascii="Times New Roman" w:hAnsi="Times New Roman" w:eastAsia="仿宋" w:cs="Times New Roman"/>
                <w:bCs/>
                <w:sz w:val="21"/>
                <w:szCs w:val="24"/>
                <w:lang w:val="en-US" w:eastAsia="zh-CN"/>
              </w:rPr>
              <w:t>2</w:t>
            </w:r>
            <w:r>
              <w:rPr>
                <w:rFonts w:hint="default" w:ascii="Times New Roman" w:hAnsi="Times New Roman" w:eastAsia="仿宋" w:cs="Times New Roman"/>
                <w:bCs/>
                <w:sz w:val="21"/>
                <w:szCs w:val="24"/>
                <w:lang w:val="en-US" w:eastAsia="zh-CN"/>
              </w:rPr>
              <w:t>分、每承担1个矿产普、详查项目加</w:t>
            </w:r>
            <w:r>
              <w:rPr>
                <w:rFonts w:hint="eastAsia" w:ascii="Times New Roman" w:hAnsi="Times New Roman" w:eastAsia="仿宋" w:cs="Times New Roman"/>
                <w:bCs/>
                <w:sz w:val="21"/>
                <w:szCs w:val="24"/>
                <w:lang w:val="en-US" w:eastAsia="zh-CN"/>
              </w:rPr>
              <w:t>1</w:t>
            </w:r>
            <w:r>
              <w:rPr>
                <w:rFonts w:hint="default" w:ascii="Times New Roman" w:hAnsi="Times New Roman" w:eastAsia="仿宋" w:cs="Times New Roman"/>
                <w:bCs/>
                <w:sz w:val="21"/>
                <w:szCs w:val="24"/>
                <w:lang w:val="en-US" w:eastAsia="zh-CN"/>
              </w:rPr>
              <w:t>分、每承担1个储量核实项目加0.</w:t>
            </w:r>
            <w:r>
              <w:rPr>
                <w:rFonts w:hint="eastAsia" w:ascii="Times New Roman" w:hAnsi="Times New Roman" w:eastAsia="仿宋" w:cs="Times New Roman"/>
                <w:bCs/>
                <w:sz w:val="21"/>
                <w:szCs w:val="24"/>
                <w:lang w:val="en-US" w:eastAsia="zh-CN"/>
              </w:rPr>
              <w:t>5</w:t>
            </w:r>
            <w:r>
              <w:rPr>
                <w:rFonts w:hint="default" w:ascii="Times New Roman" w:hAnsi="Times New Roman" w:eastAsia="仿宋" w:cs="Times New Roman"/>
                <w:bCs/>
                <w:sz w:val="21"/>
                <w:szCs w:val="24"/>
                <w:lang w:val="en-US" w:eastAsia="zh-CN"/>
              </w:rPr>
              <w:t>分。</w:t>
            </w:r>
          </w:p>
          <w:p w14:paraId="32FAA3D6">
            <w:pPr>
              <w:spacing w:line="340" w:lineRule="exact"/>
              <w:ind w:firstLine="420" w:firstLineChars="200"/>
              <w:jc w:val="left"/>
              <w:rPr>
                <w:rFonts w:hint="default" w:ascii="Times New Roman" w:hAnsi="Times New Roman" w:eastAsia="仿宋" w:cs="Times New Roman"/>
                <w:bCs/>
                <w:sz w:val="21"/>
                <w:szCs w:val="24"/>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项目成果质量（</w:t>
            </w:r>
            <w:r>
              <w:rPr>
                <w:rFonts w:hint="eastAsia" w:ascii="Times New Roman" w:hAnsi="Times New Roman" w:eastAsia="仿宋" w:cs="Times New Roman"/>
                <w:bCs/>
                <w:sz w:val="21"/>
                <w:szCs w:val="24"/>
                <w:lang w:val="en-US" w:eastAsia="zh-CN"/>
              </w:rPr>
              <w:t>15</w:t>
            </w:r>
            <w:r>
              <w:rPr>
                <w:rFonts w:hint="default" w:ascii="Times New Roman" w:hAnsi="Times New Roman" w:eastAsia="仿宋" w:cs="Times New Roman"/>
                <w:bCs/>
                <w:sz w:val="21"/>
                <w:szCs w:val="24"/>
                <w:lang w:val="en-US" w:eastAsia="zh-CN"/>
              </w:rPr>
              <w:t>分）：近五年每份优秀成果报告加</w:t>
            </w:r>
            <w:r>
              <w:rPr>
                <w:rFonts w:hint="eastAsia" w:ascii="Times New Roman" w:hAnsi="Times New Roman" w:eastAsia="仿宋" w:cs="Times New Roman"/>
                <w:bCs/>
                <w:sz w:val="21"/>
                <w:szCs w:val="24"/>
                <w:lang w:val="en-US" w:eastAsia="zh-CN"/>
              </w:rPr>
              <w:t>2</w:t>
            </w:r>
            <w:r>
              <w:rPr>
                <w:rFonts w:hint="default" w:ascii="Times New Roman" w:hAnsi="Times New Roman" w:eastAsia="仿宋" w:cs="Times New Roman"/>
                <w:bCs/>
                <w:sz w:val="21"/>
                <w:szCs w:val="24"/>
                <w:lang w:val="en-US" w:eastAsia="zh-CN"/>
              </w:rPr>
              <w:t>分、良好级加</w:t>
            </w:r>
            <w:r>
              <w:rPr>
                <w:rFonts w:hint="eastAsia" w:ascii="Times New Roman" w:hAnsi="Times New Roman" w:eastAsia="仿宋" w:cs="Times New Roman"/>
                <w:bCs/>
                <w:sz w:val="21"/>
                <w:szCs w:val="24"/>
                <w:lang w:val="en-US" w:eastAsia="zh-CN"/>
              </w:rPr>
              <w:t>1</w:t>
            </w:r>
            <w:r>
              <w:rPr>
                <w:rFonts w:hint="default" w:ascii="Times New Roman" w:hAnsi="Times New Roman" w:eastAsia="仿宋" w:cs="Times New Roman"/>
                <w:bCs/>
                <w:sz w:val="21"/>
                <w:szCs w:val="24"/>
                <w:lang w:val="en-US" w:eastAsia="zh-CN"/>
              </w:rPr>
              <w:t>分、合格级加0.</w:t>
            </w:r>
            <w:r>
              <w:rPr>
                <w:rFonts w:hint="eastAsia" w:ascii="Times New Roman" w:hAnsi="Times New Roman" w:eastAsia="仿宋" w:cs="Times New Roman"/>
                <w:bCs/>
                <w:sz w:val="21"/>
                <w:szCs w:val="24"/>
                <w:lang w:val="en-US" w:eastAsia="zh-CN"/>
              </w:rPr>
              <w:t>5</w:t>
            </w:r>
            <w:r>
              <w:rPr>
                <w:rFonts w:hint="default" w:ascii="Times New Roman" w:hAnsi="Times New Roman" w:eastAsia="仿宋" w:cs="Times New Roman"/>
                <w:bCs/>
                <w:sz w:val="21"/>
                <w:szCs w:val="24"/>
                <w:lang w:val="en-US" w:eastAsia="zh-CN"/>
              </w:rPr>
              <w:t>分。</w:t>
            </w:r>
          </w:p>
          <w:p w14:paraId="67073360">
            <w:pPr>
              <w:spacing w:line="340" w:lineRule="exact"/>
              <w:ind w:firstLine="420" w:firstLineChars="200"/>
              <w:jc w:val="left"/>
              <w:rPr>
                <w:rFonts w:hint="default" w:ascii="Times New Roman" w:hAnsi="Times New Roman" w:eastAsia="仿宋" w:cs="Times New Roman"/>
                <w:sz w:val="21"/>
                <w:szCs w:val="21"/>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项目获奖情况（</w:t>
            </w:r>
            <w:r>
              <w:rPr>
                <w:rFonts w:hint="eastAsia" w:ascii="Times New Roman" w:hAnsi="Times New Roman" w:eastAsia="仿宋" w:cs="Times New Roman"/>
                <w:bCs/>
                <w:sz w:val="21"/>
                <w:szCs w:val="24"/>
                <w:lang w:val="en-US" w:eastAsia="zh-CN"/>
              </w:rPr>
              <w:t>15</w:t>
            </w:r>
            <w:r>
              <w:rPr>
                <w:rFonts w:hint="default" w:ascii="Times New Roman" w:hAnsi="Times New Roman" w:eastAsia="仿宋" w:cs="Times New Roman"/>
                <w:bCs/>
                <w:sz w:val="21"/>
                <w:szCs w:val="24"/>
                <w:lang w:val="en-US" w:eastAsia="zh-CN"/>
              </w:rPr>
              <w:t>分）：近五年项目获国家级奖励</w:t>
            </w:r>
            <w:r>
              <w:rPr>
                <w:rFonts w:hint="eastAsia" w:ascii="Times New Roman" w:hAnsi="Times New Roman" w:eastAsia="仿宋" w:cs="Times New Roman"/>
                <w:bCs/>
                <w:sz w:val="21"/>
                <w:szCs w:val="24"/>
                <w:lang w:val="en-US" w:eastAsia="zh-CN"/>
              </w:rPr>
              <w:t>5</w:t>
            </w:r>
            <w:r>
              <w:rPr>
                <w:rFonts w:hint="default" w:ascii="Times New Roman" w:hAnsi="Times New Roman" w:eastAsia="仿宋" w:cs="Times New Roman"/>
                <w:bCs/>
                <w:sz w:val="21"/>
                <w:szCs w:val="24"/>
                <w:lang w:val="en-US" w:eastAsia="zh-CN"/>
              </w:rPr>
              <w:t>分、省部级奖励</w:t>
            </w:r>
            <w:r>
              <w:rPr>
                <w:rFonts w:hint="eastAsia" w:ascii="Times New Roman" w:hAnsi="Times New Roman" w:eastAsia="仿宋" w:cs="Times New Roman"/>
                <w:bCs/>
                <w:sz w:val="21"/>
                <w:szCs w:val="24"/>
                <w:lang w:val="en-US" w:eastAsia="zh-CN"/>
              </w:rPr>
              <w:t>2</w:t>
            </w:r>
            <w:r>
              <w:rPr>
                <w:rFonts w:hint="default" w:ascii="Times New Roman" w:hAnsi="Times New Roman" w:eastAsia="仿宋" w:cs="Times New Roman"/>
                <w:bCs/>
                <w:sz w:val="21"/>
                <w:szCs w:val="24"/>
                <w:lang w:val="en-US" w:eastAsia="zh-CN"/>
              </w:rPr>
              <w:t>分、地厅级奖励</w:t>
            </w:r>
            <w:r>
              <w:rPr>
                <w:rFonts w:hint="eastAsia" w:ascii="Times New Roman" w:hAnsi="Times New Roman" w:eastAsia="仿宋" w:cs="Times New Roman"/>
                <w:bCs/>
                <w:sz w:val="21"/>
                <w:szCs w:val="24"/>
                <w:lang w:val="en-US" w:eastAsia="zh-CN"/>
              </w:rPr>
              <w:t>1</w:t>
            </w:r>
            <w:r>
              <w:rPr>
                <w:rFonts w:hint="default" w:ascii="Times New Roman" w:hAnsi="Times New Roman" w:eastAsia="仿宋" w:cs="Times New Roman"/>
                <w:bCs/>
                <w:sz w:val="21"/>
                <w:szCs w:val="24"/>
                <w:lang w:val="en-US" w:eastAsia="zh-CN"/>
              </w:rPr>
              <w:t>分。</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6491BA48">
            <w:pPr>
              <w:spacing w:line="340" w:lineRule="exact"/>
              <w:jc w:val="center"/>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val="0"/>
                <w:bCs/>
                <w:sz w:val="24"/>
                <w:szCs w:val="24"/>
                <w:lang w:val="en-US" w:eastAsia="zh-CN"/>
              </w:rPr>
              <w:t>50</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798A5EDB">
            <w:pPr>
              <w:spacing w:line="340" w:lineRule="exact"/>
              <w:jc w:val="center"/>
              <w:rPr>
                <w:rFonts w:hint="default" w:ascii="Times New Roman" w:hAnsi="Times New Roman" w:eastAsia="仿宋" w:cs="Times New Roman"/>
                <w:b/>
                <w:sz w:val="24"/>
                <w:szCs w:val="24"/>
              </w:rPr>
            </w:pPr>
          </w:p>
        </w:tc>
      </w:tr>
      <w:tr w14:paraId="172B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5A813A4A">
            <w:pPr>
              <w:spacing w:line="340" w:lineRule="exact"/>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lang w:eastAsia="zh-CN"/>
              </w:rPr>
              <w:t>二</w:t>
            </w:r>
            <w:r>
              <w:rPr>
                <w:rFonts w:hint="default" w:ascii="Times New Roman" w:hAnsi="Times New Roman" w:eastAsia="仿宋" w:cs="Times New Roman"/>
                <w:bCs/>
                <w:sz w:val="21"/>
                <w:szCs w:val="21"/>
              </w:rPr>
              <w:t>、</w:t>
            </w:r>
            <w:r>
              <w:rPr>
                <w:rFonts w:hint="default" w:ascii="Times New Roman" w:hAnsi="Times New Roman" w:eastAsia="仿宋" w:cs="Times New Roman"/>
                <w:bCs/>
                <w:sz w:val="21"/>
                <w:szCs w:val="21"/>
                <w:lang w:val="en-US" w:eastAsia="zh-CN"/>
              </w:rPr>
              <w:t>技术队伍能力</w:t>
            </w:r>
          </w:p>
        </w:tc>
        <w:tc>
          <w:tcPr>
            <w:tcW w:w="5475" w:type="dxa"/>
            <w:tcBorders>
              <w:top w:val="single" w:color="auto" w:sz="4" w:space="0"/>
              <w:left w:val="single" w:color="auto" w:sz="4" w:space="0"/>
              <w:bottom w:val="single" w:color="auto" w:sz="4" w:space="0"/>
              <w:right w:val="single" w:color="auto" w:sz="4" w:space="0"/>
            </w:tcBorders>
            <w:noWrap w:val="0"/>
            <w:vAlign w:val="center"/>
          </w:tcPr>
          <w:p w14:paraId="53E21796">
            <w:pPr>
              <w:spacing w:line="340" w:lineRule="exact"/>
              <w:ind w:firstLine="420" w:firstLineChars="200"/>
              <w:jc w:val="left"/>
              <w:rPr>
                <w:rFonts w:hint="default" w:ascii="Times New Roman" w:hAnsi="Times New Roman" w:eastAsia="仿宋" w:cs="Times New Roman"/>
                <w:bCs/>
                <w:sz w:val="21"/>
                <w:szCs w:val="24"/>
                <w:lang w:val="en-US" w:eastAsia="zh-CN"/>
              </w:rPr>
            </w:pPr>
            <w:r>
              <w:rPr>
                <w:rFonts w:hint="eastAsia" w:ascii="Times New Roman" w:hAnsi="Times New Roman" w:eastAsia="仿宋" w:cs="Times New Roman"/>
                <w:bCs/>
                <w:sz w:val="21"/>
                <w:szCs w:val="24"/>
                <w:lang w:val="en-US" w:eastAsia="zh-CN"/>
              </w:rPr>
              <w:t>申报单位技术</w:t>
            </w:r>
            <w:r>
              <w:rPr>
                <w:rFonts w:hint="default" w:ascii="Times New Roman" w:hAnsi="Times New Roman" w:eastAsia="仿宋" w:cs="Times New Roman"/>
                <w:bCs/>
                <w:sz w:val="21"/>
                <w:szCs w:val="24"/>
                <w:lang w:val="en-US" w:eastAsia="zh-CN"/>
              </w:rPr>
              <w:t>人员资格（</w:t>
            </w:r>
            <w:r>
              <w:rPr>
                <w:rFonts w:hint="eastAsia" w:ascii="Times New Roman" w:hAnsi="Times New Roman" w:eastAsia="仿宋" w:cs="Times New Roman"/>
                <w:bCs/>
                <w:sz w:val="21"/>
                <w:szCs w:val="24"/>
                <w:lang w:val="en-US" w:eastAsia="zh-CN"/>
              </w:rPr>
              <w:t>15</w:t>
            </w:r>
            <w:r>
              <w:rPr>
                <w:rFonts w:hint="default" w:ascii="Times New Roman" w:hAnsi="Times New Roman" w:eastAsia="仿宋" w:cs="Times New Roman"/>
                <w:bCs/>
                <w:sz w:val="21"/>
                <w:szCs w:val="24"/>
                <w:lang w:val="en-US" w:eastAsia="zh-CN"/>
              </w:rPr>
              <w:t>分）：地质矿产高级职称</w:t>
            </w:r>
            <w:r>
              <w:rPr>
                <w:rFonts w:hint="eastAsia" w:ascii="Times New Roman" w:hAnsi="Times New Roman" w:eastAsia="仿宋" w:cs="Times New Roman"/>
                <w:bCs/>
                <w:sz w:val="21"/>
                <w:szCs w:val="24"/>
                <w:lang w:val="en-US" w:eastAsia="zh-CN"/>
              </w:rPr>
              <w:t>技术人员30</w:t>
            </w:r>
            <w:r>
              <w:rPr>
                <w:rFonts w:hint="default" w:ascii="Times New Roman" w:hAnsi="Times New Roman" w:eastAsia="仿宋" w:cs="Times New Roman"/>
                <w:bCs/>
                <w:sz w:val="21"/>
                <w:szCs w:val="24"/>
                <w:lang w:val="en-US" w:eastAsia="zh-CN"/>
              </w:rPr>
              <w:t>人</w:t>
            </w:r>
            <w:r>
              <w:rPr>
                <w:rFonts w:hint="eastAsia" w:ascii="Times New Roman" w:hAnsi="Times New Roman" w:eastAsia="仿宋" w:cs="Times New Roman"/>
                <w:bCs/>
                <w:sz w:val="21"/>
                <w:szCs w:val="24"/>
                <w:lang w:val="en-US" w:eastAsia="zh-CN"/>
              </w:rPr>
              <w:t>，</w:t>
            </w:r>
            <w:r>
              <w:rPr>
                <w:rFonts w:hint="default" w:ascii="Times New Roman" w:hAnsi="Times New Roman" w:eastAsia="仿宋" w:cs="Times New Roman"/>
                <w:bCs/>
                <w:sz w:val="21"/>
                <w:szCs w:val="24"/>
                <w:lang w:val="en-US" w:eastAsia="zh-CN"/>
              </w:rPr>
              <w:t>每减少1名减</w:t>
            </w:r>
            <w:r>
              <w:rPr>
                <w:rFonts w:hint="eastAsia" w:ascii="Times New Roman" w:hAnsi="Times New Roman" w:eastAsia="仿宋" w:cs="Times New Roman"/>
                <w:bCs/>
                <w:sz w:val="21"/>
                <w:szCs w:val="24"/>
                <w:lang w:val="en-US" w:eastAsia="zh-CN"/>
              </w:rPr>
              <w:t>0.5</w:t>
            </w:r>
            <w:r>
              <w:rPr>
                <w:rFonts w:hint="default" w:ascii="Times New Roman" w:hAnsi="Times New Roman" w:eastAsia="仿宋" w:cs="Times New Roman"/>
                <w:bCs/>
                <w:sz w:val="21"/>
                <w:szCs w:val="24"/>
                <w:lang w:val="en-US" w:eastAsia="zh-CN"/>
              </w:rPr>
              <w:t>分。</w:t>
            </w:r>
          </w:p>
          <w:p w14:paraId="5D360AF1">
            <w:pPr>
              <w:spacing w:line="340" w:lineRule="exact"/>
              <w:ind w:firstLine="420" w:firstLineChars="200"/>
              <w:jc w:val="left"/>
              <w:rPr>
                <w:rFonts w:hint="default" w:ascii="Times New Roman" w:hAnsi="Times New Roman" w:eastAsia="仿宋" w:cs="Times New Roman"/>
                <w:bCs/>
                <w:sz w:val="21"/>
                <w:szCs w:val="24"/>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项目负责人能力（</w:t>
            </w:r>
            <w:r>
              <w:rPr>
                <w:rFonts w:hint="eastAsia" w:ascii="Times New Roman" w:hAnsi="Times New Roman" w:eastAsia="仿宋" w:cs="Times New Roman"/>
                <w:bCs/>
                <w:sz w:val="21"/>
                <w:szCs w:val="24"/>
                <w:lang w:val="en-US" w:eastAsia="zh-CN"/>
              </w:rPr>
              <w:t>20</w:t>
            </w:r>
            <w:r>
              <w:rPr>
                <w:rFonts w:hint="default" w:ascii="Times New Roman" w:hAnsi="Times New Roman" w:eastAsia="仿宋" w:cs="Times New Roman"/>
                <w:bCs/>
                <w:sz w:val="21"/>
                <w:szCs w:val="24"/>
                <w:lang w:val="en-US" w:eastAsia="zh-CN"/>
              </w:rPr>
              <w:t>分）：具有同类项目负责人（技术负责）经历</w:t>
            </w:r>
            <w:r>
              <w:rPr>
                <w:rFonts w:hint="eastAsia" w:ascii="Times New Roman" w:hAnsi="Times New Roman" w:eastAsia="仿宋" w:cs="Times New Roman"/>
                <w:bCs/>
                <w:sz w:val="21"/>
                <w:szCs w:val="24"/>
                <w:lang w:val="en-US" w:eastAsia="zh-CN"/>
              </w:rPr>
              <w:t>，</w:t>
            </w:r>
            <w:r>
              <w:rPr>
                <w:rFonts w:hint="default" w:ascii="Times New Roman" w:hAnsi="Times New Roman" w:eastAsia="仿宋" w:cs="Times New Roman"/>
                <w:bCs/>
                <w:sz w:val="21"/>
                <w:szCs w:val="24"/>
                <w:lang w:val="en-US" w:eastAsia="zh-CN"/>
              </w:rPr>
              <w:t>每</w:t>
            </w:r>
            <w:r>
              <w:rPr>
                <w:rFonts w:hint="eastAsia" w:ascii="Times New Roman" w:hAnsi="Times New Roman" w:eastAsia="仿宋" w:cs="Times New Roman"/>
                <w:bCs/>
                <w:sz w:val="21"/>
                <w:szCs w:val="24"/>
                <w:lang w:val="en-US" w:eastAsia="zh-CN"/>
              </w:rPr>
              <w:t>名</w:t>
            </w:r>
            <w:r>
              <w:rPr>
                <w:rFonts w:hint="default" w:ascii="Times New Roman" w:hAnsi="Times New Roman" w:eastAsia="仿宋" w:cs="Times New Roman"/>
                <w:bCs/>
                <w:sz w:val="21"/>
                <w:szCs w:val="24"/>
                <w:lang w:val="en-US" w:eastAsia="zh-CN"/>
              </w:rPr>
              <w:t>得</w:t>
            </w:r>
            <w:r>
              <w:rPr>
                <w:rFonts w:hint="eastAsia" w:ascii="Times New Roman" w:hAnsi="Times New Roman" w:eastAsia="仿宋" w:cs="Times New Roman"/>
                <w:bCs/>
                <w:sz w:val="21"/>
                <w:szCs w:val="24"/>
                <w:lang w:val="en-US" w:eastAsia="zh-CN"/>
              </w:rPr>
              <w:t>1</w:t>
            </w:r>
            <w:r>
              <w:rPr>
                <w:rFonts w:hint="default" w:ascii="Times New Roman" w:hAnsi="Times New Roman" w:eastAsia="仿宋" w:cs="Times New Roman"/>
                <w:bCs/>
                <w:sz w:val="21"/>
                <w:szCs w:val="24"/>
                <w:lang w:val="en-US" w:eastAsia="zh-CN"/>
              </w:rPr>
              <w:t>分；具有同类项目副负责人（副技术负责）经历、</w:t>
            </w:r>
            <w:r>
              <w:rPr>
                <w:rFonts w:hint="eastAsia" w:ascii="Times New Roman" w:hAnsi="Times New Roman" w:eastAsia="仿宋" w:cs="Times New Roman"/>
                <w:bCs/>
                <w:sz w:val="21"/>
                <w:szCs w:val="24"/>
                <w:lang w:val="en-US" w:eastAsia="zh-CN"/>
              </w:rPr>
              <w:t>每名</w:t>
            </w:r>
            <w:r>
              <w:rPr>
                <w:rFonts w:hint="default" w:ascii="Times New Roman" w:hAnsi="Times New Roman" w:eastAsia="仿宋" w:cs="Times New Roman"/>
                <w:bCs/>
                <w:sz w:val="21"/>
                <w:szCs w:val="24"/>
                <w:lang w:val="en-US" w:eastAsia="zh-CN"/>
              </w:rPr>
              <w:t>得</w:t>
            </w:r>
            <w:r>
              <w:rPr>
                <w:rFonts w:hint="eastAsia" w:ascii="Times New Roman" w:hAnsi="Times New Roman" w:eastAsia="仿宋" w:cs="Times New Roman"/>
                <w:bCs/>
                <w:sz w:val="21"/>
                <w:szCs w:val="24"/>
                <w:lang w:val="en-US" w:eastAsia="zh-CN"/>
              </w:rPr>
              <w:t>0.5</w:t>
            </w:r>
            <w:r>
              <w:rPr>
                <w:rFonts w:hint="default" w:ascii="Times New Roman" w:hAnsi="Times New Roman" w:eastAsia="仿宋" w:cs="Times New Roman"/>
                <w:bCs/>
                <w:sz w:val="21"/>
                <w:szCs w:val="24"/>
                <w:lang w:val="en-US" w:eastAsia="zh-CN"/>
              </w:rPr>
              <w:t>分。</w:t>
            </w:r>
          </w:p>
          <w:p w14:paraId="0F6F35F2">
            <w:pPr>
              <w:spacing w:line="340" w:lineRule="exact"/>
              <w:ind w:firstLine="420" w:firstLineChars="200"/>
              <w:jc w:val="left"/>
              <w:rPr>
                <w:rFonts w:hint="default" w:ascii="Times New Roman" w:hAnsi="Times New Roman" w:eastAsia="等线" w:cs="Times New Roman"/>
                <w:sz w:val="30"/>
                <w:szCs w:val="30"/>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项目设备、仪器配备（</w:t>
            </w:r>
            <w:r>
              <w:rPr>
                <w:rFonts w:hint="eastAsia" w:ascii="Times New Roman" w:hAnsi="Times New Roman" w:eastAsia="仿宋" w:cs="Times New Roman"/>
                <w:bCs/>
                <w:sz w:val="21"/>
                <w:szCs w:val="24"/>
                <w:lang w:val="en-US" w:eastAsia="zh-CN"/>
              </w:rPr>
              <w:t>5</w:t>
            </w:r>
            <w:r>
              <w:rPr>
                <w:rFonts w:hint="default" w:ascii="Times New Roman" w:hAnsi="Times New Roman" w:eastAsia="仿宋" w:cs="Times New Roman"/>
                <w:bCs/>
                <w:sz w:val="21"/>
                <w:szCs w:val="24"/>
                <w:lang w:val="en-US" w:eastAsia="zh-CN"/>
              </w:rPr>
              <w:t>分）：拟投入的设备、仪器先进、适用并能满足矿产地质调查需要2分；拟投入的设备、仪器基本适用基本满足需要1分。</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33333E93">
            <w:pPr>
              <w:spacing w:line="340" w:lineRule="exact"/>
              <w:jc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40</w:t>
            </w:r>
          </w:p>
        </w:tc>
        <w:tc>
          <w:tcPr>
            <w:tcW w:w="767" w:type="dxa"/>
            <w:tcBorders>
              <w:top w:val="single" w:color="auto" w:sz="4" w:space="0"/>
              <w:left w:val="single" w:color="auto" w:sz="4" w:space="0"/>
              <w:bottom w:val="single" w:color="auto" w:sz="4" w:space="0"/>
              <w:right w:val="single" w:color="auto" w:sz="4" w:space="0"/>
            </w:tcBorders>
            <w:noWrap w:val="0"/>
            <w:vAlign w:val="top"/>
          </w:tcPr>
          <w:p w14:paraId="63EA8BC6">
            <w:pPr>
              <w:spacing w:line="340" w:lineRule="exact"/>
              <w:rPr>
                <w:rFonts w:hint="default" w:ascii="Times New Roman" w:hAnsi="Times New Roman" w:eastAsia="仿宋" w:cs="Times New Roman"/>
                <w:sz w:val="21"/>
                <w:szCs w:val="21"/>
              </w:rPr>
            </w:pPr>
          </w:p>
        </w:tc>
      </w:tr>
      <w:tr w14:paraId="2449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0972A999">
            <w:pPr>
              <w:spacing w:line="340" w:lineRule="exact"/>
              <w:jc w:val="left"/>
              <w:rPr>
                <w:rFonts w:hint="default" w:ascii="Times New Roman" w:hAnsi="Times New Roman" w:eastAsia="仿宋" w:cs="Times New Roman"/>
                <w:bCs/>
                <w:kern w:val="2"/>
                <w:sz w:val="21"/>
                <w:szCs w:val="21"/>
                <w:lang w:val="en-US" w:eastAsia="zh-CN" w:bidi="ar-SA"/>
              </w:rPr>
            </w:pPr>
            <w:r>
              <w:rPr>
                <w:rFonts w:hint="default" w:ascii="Times New Roman" w:hAnsi="Times New Roman" w:eastAsia="仿宋" w:cs="Times New Roman"/>
                <w:bCs/>
                <w:sz w:val="21"/>
                <w:szCs w:val="21"/>
                <w:lang w:eastAsia="zh-CN"/>
              </w:rPr>
              <w:t>三</w:t>
            </w:r>
            <w:r>
              <w:rPr>
                <w:rFonts w:hint="default" w:ascii="Times New Roman" w:hAnsi="Times New Roman" w:eastAsia="仿宋" w:cs="Times New Roman"/>
                <w:bCs/>
                <w:sz w:val="21"/>
                <w:szCs w:val="21"/>
              </w:rPr>
              <w:t>、</w:t>
            </w:r>
            <w:r>
              <w:rPr>
                <w:rFonts w:hint="default" w:ascii="Times New Roman" w:hAnsi="Times New Roman" w:eastAsia="仿宋" w:cs="Times New Roman"/>
                <w:bCs/>
                <w:sz w:val="21"/>
                <w:szCs w:val="21"/>
                <w:lang w:val="en-US" w:eastAsia="zh-CN"/>
              </w:rPr>
              <w:t>资金保障能力</w:t>
            </w:r>
          </w:p>
        </w:tc>
        <w:tc>
          <w:tcPr>
            <w:tcW w:w="5475" w:type="dxa"/>
            <w:tcBorders>
              <w:top w:val="single" w:color="auto" w:sz="4" w:space="0"/>
              <w:left w:val="single" w:color="auto" w:sz="4" w:space="0"/>
              <w:bottom w:val="single" w:color="auto" w:sz="4" w:space="0"/>
              <w:right w:val="single" w:color="auto" w:sz="4" w:space="0"/>
            </w:tcBorders>
            <w:noWrap w:val="0"/>
            <w:vAlign w:val="center"/>
          </w:tcPr>
          <w:p w14:paraId="303860E8">
            <w:pPr>
              <w:spacing w:line="340" w:lineRule="exact"/>
              <w:ind w:firstLine="420" w:firstLineChars="200"/>
              <w:jc w:val="left"/>
              <w:rPr>
                <w:rFonts w:hint="default" w:ascii="Times New Roman" w:hAnsi="Times New Roman" w:eastAsia="仿宋" w:cs="Times New Roman"/>
                <w:bCs/>
                <w:sz w:val="21"/>
                <w:szCs w:val="24"/>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近3年平均银行存款（5分）：≧1000万元5分、500-1000万元3分、300-500万元1分、＜300万元0分。</w:t>
            </w:r>
          </w:p>
          <w:p w14:paraId="491A6ADB">
            <w:pPr>
              <w:spacing w:line="340" w:lineRule="exact"/>
              <w:ind w:firstLine="420" w:firstLineChars="200"/>
              <w:jc w:val="left"/>
              <w:rPr>
                <w:rFonts w:hint="default" w:ascii="Times New Roman" w:hAnsi="Times New Roman" w:eastAsia="等线" w:cs="Times New Roman"/>
                <w:sz w:val="30"/>
                <w:szCs w:val="30"/>
                <w:lang w:val="en-US" w:eastAsia="zh-CN"/>
              </w:rPr>
            </w:pPr>
            <w:r>
              <w:rPr>
                <w:rFonts w:hint="eastAsia" w:ascii="Times New Roman" w:hAnsi="Times New Roman" w:eastAsia="仿宋" w:cs="Times New Roman"/>
                <w:bCs/>
                <w:sz w:val="21"/>
                <w:szCs w:val="24"/>
                <w:lang w:val="en-US" w:eastAsia="zh-CN"/>
              </w:rPr>
              <w:t>申报单位</w:t>
            </w:r>
            <w:r>
              <w:rPr>
                <w:rFonts w:hint="default" w:ascii="Times New Roman" w:hAnsi="Times New Roman" w:eastAsia="仿宋" w:cs="Times New Roman"/>
                <w:bCs/>
                <w:sz w:val="21"/>
                <w:szCs w:val="24"/>
                <w:lang w:val="en-US" w:eastAsia="zh-CN"/>
              </w:rPr>
              <w:t>近3年平均资产负债率（5分）：≦40%5分、40-60%3分、60-70%1分、＞70%0分。</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32E76266">
            <w:pPr>
              <w:spacing w:line="340" w:lineRule="exact"/>
              <w:jc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10</w:t>
            </w:r>
          </w:p>
        </w:tc>
        <w:tc>
          <w:tcPr>
            <w:tcW w:w="767" w:type="dxa"/>
            <w:tcBorders>
              <w:top w:val="single" w:color="auto" w:sz="4" w:space="0"/>
              <w:left w:val="single" w:color="auto" w:sz="4" w:space="0"/>
              <w:bottom w:val="single" w:color="auto" w:sz="4" w:space="0"/>
              <w:right w:val="single" w:color="auto" w:sz="4" w:space="0"/>
            </w:tcBorders>
            <w:noWrap w:val="0"/>
            <w:vAlign w:val="top"/>
          </w:tcPr>
          <w:p w14:paraId="2234AEC5">
            <w:pPr>
              <w:spacing w:line="340" w:lineRule="exact"/>
              <w:rPr>
                <w:rFonts w:hint="default" w:ascii="Times New Roman" w:hAnsi="Times New Roman" w:eastAsia="仿宋" w:cs="Times New Roman"/>
                <w:sz w:val="21"/>
                <w:szCs w:val="21"/>
              </w:rPr>
            </w:pPr>
          </w:p>
        </w:tc>
      </w:tr>
      <w:tr w14:paraId="3D18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6" w:type="dxa"/>
            <w:gridSpan w:val="2"/>
            <w:tcBorders>
              <w:top w:val="single" w:color="auto" w:sz="4" w:space="0"/>
              <w:left w:val="single" w:color="auto" w:sz="4" w:space="0"/>
              <w:bottom w:val="single" w:color="auto" w:sz="4" w:space="0"/>
              <w:right w:val="single" w:color="auto" w:sz="4" w:space="0"/>
            </w:tcBorders>
            <w:noWrap w:val="0"/>
            <w:vAlign w:val="top"/>
          </w:tcPr>
          <w:p w14:paraId="5DBB8B95">
            <w:pPr>
              <w:rPr>
                <w:rFonts w:hint="default" w:ascii="Times New Roman" w:hAnsi="Times New Roman" w:eastAsia="仿宋" w:cs="Times New Roman"/>
                <w:b/>
                <w:sz w:val="21"/>
                <w:szCs w:val="28"/>
              </w:rPr>
            </w:pPr>
            <w:r>
              <w:rPr>
                <w:rFonts w:hint="default" w:ascii="Times New Roman" w:hAnsi="Times New Roman" w:eastAsia="仿宋" w:cs="Times New Roman"/>
                <w:sz w:val="21"/>
                <w:szCs w:val="21"/>
              </w:rPr>
              <w:t>总得分</w:t>
            </w:r>
          </w:p>
        </w:tc>
        <w:tc>
          <w:tcPr>
            <w:tcW w:w="1038" w:type="dxa"/>
            <w:tcBorders>
              <w:top w:val="single" w:color="auto" w:sz="4" w:space="0"/>
              <w:left w:val="single" w:color="auto" w:sz="4" w:space="0"/>
              <w:bottom w:val="single" w:color="auto" w:sz="4" w:space="0"/>
              <w:right w:val="single" w:color="auto" w:sz="4" w:space="0"/>
            </w:tcBorders>
            <w:noWrap w:val="0"/>
            <w:vAlign w:val="top"/>
          </w:tcPr>
          <w:p w14:paraId="26432F2A">
            <w:pPr>
              <w:jc w:val="center"/>
              <w:rPr>
                <w:rFonts w:hint="default" w:ascii="Times New Roman" w:hAnsi="Times New Roman" w:eastAsia="仿宋" w:cs="Times New Roman"/>
                <w:b/>
                <w:sz w:val="21"/>
                <w:szCs w:val="28"/>
                <w:lang w:val="en-US" w:eastAsia="zh-CN"/>
              </w:rPr>
            </w:pPr>
            <w:r>
              <w:rPr>
                <w:rFonts w:hint="eastAsia" w:ascii="Times New Roman" w:hAnsi="Times New Roman" w:eastAsia="仿宋" w:cs="Times New Roman"/>
                <w:b/>
                <w:sz w:val="21"/>
                <w:szCs w:val="28"/>
                <w:lang w:val="en-US" w:eastAsia="zh-CN"/>
              </w:rPr>
              <w:t>1</w:t>
            </w:r>
            <w:r>
              <w:rPr>
                <w:rFonts w:hint="default" w:ascii="Times New Roman" w:hAnsi="Times New Roman" w:eastAsia="仿宋" w:cs="Times New Roman"/>
                <w:b/>
                <w:sz w:val="21"/>
                <w:szCs w:val="28"/>
                <w:lang w:val="en-US" w:eastAsia="zh-CN"/>
              </w:rPr>
              <w:t>0</w:t>
            </w:r>
            <w:r>
              <w:rPr>
                <w:rFonts w:hint="eastAsia" w:ascii="Times New Roman" w:hAnsi="Times New Roman" w:eastAsia="仿宋" w:cs="Times New Roman"/>
                <w:b/>
                <w:sz w:val="21"/>
                <w:szCs w:val="28"/>
                <w:lang w:val="en-US" w:eastAsia="zh-CN"/>
              </w:rPr>
              <w:t>0</w:t>
            </w:r>
          </w:p>
        </w:tc>
        <w:tc>
          <w:tcPr>
            <w:tcW w:w="767" w:type="dxa"/>
            <w:tcBorders>
              <w:top w:val="single" w:color="auto" w:sz="4" w:space="0"/>
              <w:left w:val="single" w:color="auto" w:sz="4" w:space="0"/>
              <w:bottom w:val="single" w:color="auto" w:sz="4" w:space="0"/>
              <w:right w:val="single" w:color="auto" w:sz="4" w:space="0"/>
            </w:tcBorders>
            <w:noWrap w:val="0"/>
            <w:vAlign w:val="top"/>
          </w:tcPr>
          <w:p w14:paraId="22A56B87">
            <w:pPr>
              <w:rPr>
                <w:rFonts w:hint="default" w:ascii="Times New Roman" w:hAnsi="Times New Roman" w:eastAsia="仿宋" w:cs="Times New Roman"/>
                <w:b/>
                <w:sz w:val="21"/>
                <w:szCs w:val="28"/>
              </w:rPr>
            </w:pPr>
          </w:p>
        </w:tc>
      </w:tr>
      <w:tr w14:paraId="49CC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6" w:type="dxa"/>
            <w:gridSpan w:val="2"/>
            <w:tcBorders>
              <w:top w:val="single" w:color="auto" w:sz="4" w:space="0"/>
              <w:left w:val="single" w:color="auto" w:sz="4" w:space="0"/>
              <w:bottom w:val="single" w:color="auto" w:sz="4" w:space="0"/>
              <w:right w:val="single" w:color="auto" w:sz="4" w:space="0"/>
            </w:tcBorders>
            <w:noWrap w:val="0"/>
            <w:vAlign w:val="top"/>
          </w:tcPr>
          <w:p w14:paraId="25525502">
            <w:pPr>
              <w:rPr>
                <w:rFonts w:hint="default" w:ascii="Times New Roman" w:hAnsi="Times New Roman" w:eastAsia="仿宋" w:cs="Times New Roman"/>
                <w:sz w:val="21"/>
                <w:szCs w:val="21"/>
              </w:rPr>
            </w:pPr>
            <w:r>
              <w:rPr>
                <w:rFonts w:hint="eastAsia" w:ascii="仿宋" w:hAnsi="仿宋" w:eastAsia="仿宋" w:cs="仿宋"/>
                <w:sz w:val="21"/>
                <w:szCs w:val="21"/>
              </w:rPr>
              <w:t>折算得分（实际得分）</w:t>
            </w:r>
            <w:r>
              <w:rPr>
                <w:rFonts w:hint="eastAsia" w:ascii="仿宋" w:hAnsi="仿宋" w:eastAsia="仿宋" w:cs="仿宋"/>
                <w:sz w:val="24"/>
                <w:szCs w:val="21"/>
              </w:rPr>
              <w:t>＝</w:t>
            </w:r>
            <w:r>
              <w:rPr>
                <w:rFonts w:hint="eastAsia" w:ascii="仿宋" w:hAnsi="仿宋" w:eastAsia="仿宋" w:cs="仿宋"/>
                <w:sz w:val="24"/>
                <w:szCs w:val="24"/>
              </w:rPr>
              <w:t>V</w:t>
            </w:r>
            <w:r>
              <w:rPr>
                <w:rFonts w:hint="eastAsia" w:ascii="仿宋" w:hAnsi="仿宋" w:eastAsia="仿宋" w:cs="仿宋"/>
                <w:sz w:val="21"/>
                <w:szCs w:val="21"/>
              </w:rPr>
              <w:t>×</w:t>
            </w:r>
            <w:r>
              <w:rPr>
                <w:rFonts w:hint="eastAsia" w:ascii="仿宋" w:hAnsi="仿宋" w:eastAsia="仿宋" w:cs="仿宋"/>
                <w:sz w:val="21"/>
                <w:szCs w:val="21"/>
                <w:lang w:val="en-US" w:eastAsia="zh-CN"/>
              </w:rPr>
              <w:t>10</w:t>
            </w:r>
            <w:r>
              <w:rPr>
                <w:rFonts w:hint="eastAsia" w:ascii="仿宋" w:hAnsi="仿宋" w:eastAsia="仿宋" w:cs="仿宋"/>
                <w:sz w:val="21"/>
                <w:szCs w:val="21"/>
              </w:rPr>
              <w:t>％</w:t>
            </w:r>
          </w:p>
        </w:tc>
        <w:tc>
          <w:tcPr>
            <w:tcW w:w="1038" w:type="dxa"/>
            <w:tcBorders>
              <w:top w:val="single" w:color="auto" w:sz="4" w:space="0"/>
              <w:left w:val="single" w:color="auto" w:sz="4" w:space="0"/>
              <w:bottom w:val="single" w:color="auto" w:sz="4" w:space="0"/>
              <w:right w:val="single" w:color="auto" w:sz="4" w:space="0"/>
            </w:tcBorders>
            <w:noWrap w:val="0"/>
            <w:vAlign w:val="top"/>
          </w:tcPr>
          <w:p w14:paraId="630E2200">
            <w:pPr>
              <w:jc w:val="center"/>
              <w:rPr>
                <w:rFonts w:hint="eastAsia" w:ascii="Times New Roman" w:hAnsi="Times New Roman" w:eastAsia="仿宋" w:cs="Times New Roman"/>
                <w:b/>
                <w:sz w:val="21"/>
                <w:szCs w:val="28"/>
                <w:lang w:val="en-US" w:eastAsia="zh-CN"/>
              </w:rPr>
            </w:pPr>
          </w:p>
        </w:tc>
        <w:tc>
          <w:tcPr>
            <w:tcW w:w="767" w:type="dxa"/>
            <w:tcBorders>
              <w:top w:val="single" w:color="auto" w:sz="4" w:space="0"/>
              <w:left w:val="single" w:color="auto" w:sz="4" w:space="0"/>
              <w:bottom w:val="single" w:color="auto" w:sz="4" w:space="0"/>
              <w:right w:val="single" w:color="auto" w:sz="4" w:space="0"/>
            </w:tcBorders>
            <w:noWrap w:val="0"/>
            <w:vAlign w:val="top"/>
          </w:tcPr>
          <w:p w14:paraId="6EFBD4A7">
            <w:pPr>
              <w:rPr>
                <w:rFonts w:hint="default" w:ascii="Times New Roman" w:hAnsi="Times New Roman" w:eastAsia="仿宋" w:cs="Times New Roman"/>
                <w:b/>
                <w:sz w:val="21"/>
                <w:szCs w:val="28"/>
              </w:rPr>
            </w:pPr>
          </w:p>
        </w:tc>
      </w:tr>
    </w:tbl>
    <w:p w14:paraId="5D2A2F2E">
      <w:pPr>
        <w:keepNext w:val="0"/>
        <w:keepLines w:val="0"/>
        <w:pageBreakBefore w:val="0"/>
        <w:widowControl w:val="0"/>
        <w:kinsoku/>
        <w:wordWrap/>
        <w:overflowPunct/>
        <w:topLinePunct w:val="0"/>
        <w:autoSpaceDE/>
        <w:autoSpaceDN/>
        <w:bidi w:val="0"/>
        <w:adjustRightInd w:val="0"/>
        <w:snapToGrid w:val="0"/>
        <w:spacing w:before="156" w:beforeLines="50" w:line="20" w:lineRule="atLeast"/>
        <w:ind w:firstLine="560" w:firstLineChars="200"/>
        <w:textAlignment w:val="auto"/>
        <w:rPr>
          <w:rFonts w:hint="default" w:ascii="Times New Roman" w:hAnsi="Times New Roman" w:eastAsia="仿宋" w:cs="Times New Roman"/>
          <w:sz w:val="21"/>
          <w:szCs w:val="24"/>
        </w:rPr>
        <w:sectPr>
          <w:pgSz w:w="11906" w:h="16838"/>
          <w:pgMar w:top="1418" w:right="1588" w:bottom="1418" w:left="1701" w:header="851" w:footer="992" w:gutter="0"/>
          <w:cols w:space="720" w:num="1"/>
          <w:docGrid w:type="linesAndChars" w:linePitch="312" w:charSpace="0"/>
        </w:sectPr>
      </w:pPr>
      <w:r>
        <w:rPr>
          <w:rFonts w:hint="default" w:ascii="Times New Roman" w:hAnsi="Times New Roman" w:eastAsia="仿宋" w:cs="Times New Roman"/>
          <w:bCs/>
          <w:kern w:val="0"/>
          <w:sz w:val="28"/>
          <w:szCs w:val="28"/>
        </w:rPr>
        <w:t>评</w:t>
      </w:r>
      <w:r>
        <w:rPr>
          <w:rFonts w:hint="eastAsia" w:ascii="Times New Roman" w:hAnsi="Times New Roman" w:eastAsia="仿宋" w:cs="Times New Roman"/>
          <w:bCs/>
          <w:kern w:val="0"/>
          <w:sz w:val="28"/>
          <w:szCs w:val="28"/>
          <w:lang w:val="en-US" w:eastAsia="zh-CN"/>
        </w:rPr>
        <w:t>标</w:t>
      </w:r>
      <w:r>
        <w:rPr>
          <w:rFonts w:hint="default" w:ascii="Times New Roman" w:hAnsi="Times New Roman" w:eastAsia="仿宋" w:cs="Times New Roman"/>
          <w:bCs/>
          <w:kern w:val="0"/>
          <w:sz w:val="28"/>
          <w:szCs w:val="28"/>
        </w:rPr>
        <w:t>专家签名：</w:t>
      </w:r>
      <w:r>
        <w:rPr>
          <w:rFonts w:hint="default" w:ascii="Times New Roman" w:hAnsi="Times New Roman" w:eastAsia="仿宋" w:cs="Times New Roman"/>
          <w:sz w:val="28"/>
          <w:szCs w:val="28"/>
        </w:rPr>
        <w:t xml:space="preserve">                    </w:t>
      </w:r>
      <w:r>
        <w:rPr>
          <w:rFonts w:hint="eastAsia" w:ascii="Times New Roman" w:hAnsi="Times New Roman" w:eastAsia="仿宋" w:cs="Times New Roman"/>
          <w:sz w:val="28"/>
          <w:szCs w:val="28"/>
          <w:lang w:val="en-US" w:eastAsia="zh-CN"/>
        </w:rPr>
        <w:t>评标</w:t>
      </w:r>
      <w:r>
        <w:rPr>
          <w:rFonts w:hint="default" w:ascii="Times New Roman" w:hAnsi="Times New Roman" w:eastAsia="仿宋" w:cs="Times New Roman"/>
          <w:sz w:val="28"/>
          <w:szCs w:val="28"/>
        </w:rPr>
        <w:t xml:space="preserve">日期：    年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月</w:t>
      </w:r>
    </w:p>
    <w:p w14:paraId="5FFCC3AD">
      <w:pPr>
        <w:keepNext w:val="0"/>
        <w:keepLines w:val="0"/>
        <w:pageBreakBefore w:val="0"/>
        <w:widowControl w:val="0"/>
        <w:kinsoku/>
        <w:wordWrap/>
        <w:overflowPunct/>
        <w:topLinePunct w:val="0"/>
        <w:autoSpaceDE/>
        <w:autoSpaceDN/>
        <w:bidi w:val="0"/>
        <w:adjustRightInd/>
        <w:snapToGrid/>
        <w:spacing w:line="20" w:lineRule="atLeas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3B85C"/>
    <w:multiLevelType w:val="singleLevel"/>
    <w:tmpl w:val="B123B85C"/>
    <w:lvl w:ilvl="0" w:tentative="0">
      <w:start w:val="1"/>
      <w:numFmt w:val="chineseCounting"/>
      <w:suff w:val="nothing"/>
      <w:lvlText w:val="%1、"/>
      <w:lvlJc w:val="left"/>
      <w:pPr>
        <w:ind w:left="-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66AD5"/>
    <w:rsid w:val="36357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614</Words>
  <Characters>673</Characters>
  <Lines>0</Lines>
  <Paragraphs>0</Paragraphs>
  <TotalTime>2</TotalTime>
  <ScaleCrop>false</ScaleCrop>
  <LinksUpToDate>false</LinksUpToDate>
  <CharactersWithSpaces>712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2025-11-10T10:56:00Z</dcterms:created>
  <dc:creator>86181</dc:creator>
  <cp:lastModifiedBy>spring</cp:lastModifiedBy>
  <dcterms:modified xsi:type="dcterms:W3CDTF">2025-11-11T03:12:05Z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eyJoZGlkIjoiOTdjZjk1ODQ0NDJmNTM4OTEyOWIxY2U0NzQ2YzUwYTQiLCJ1c2VySWQiOiIxMDYzMTEzNTI3In0=</vt:lpwstr>
  </property>
  <property fmtid="{D5CDD505-2E9C-101B-9397-08002B2CF9AE}" pid="4" name="ICV">
    <vt:lpwstr>E73202460B474D57A83712E438B70B77_13</vt:lpwstr>
  </property>
</Properties>
</file>